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Екатеринбург-Нижний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Серов-Североуральск-Ивдель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proofErr w:type="spellStart"/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proofErr w:type="spellEnd"/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</w:t>
      </w:r>
      <w:proofErr w:type="spellStart"/>
      <w:r w:rsidR="007F0526" w:rsidRPr="00A845D8">
        <w:rPr>
          <w:i/>
          <w:sz w:val="27"/>
          <w:szCs w:val="27"/>
        </w:rPr>
        <w:t>Шевроле</w:t>
      </w:r>
      <w:proofErr w:type="spellEnd"/>
      <w:r w:rsidR="007F0526" w:rsidRPr="00A845D8">
        <w:rPr>
          <w:i/>
          <w:sz w:val="27"/>
          <w:szCs w:val="27"/>
        </w:rPr>
        <w:t>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>водитель автомобиля «</w:t>
      </w:r>
      <w:proofErr w:type="spellStart"/>
      <w:r w:rsidRPr="00A845D8">
        <w:rPr>
          <w:i/>
          <w:sz w:val="27"/>
          <w:szCs w:val="27"/>
        </w:rPr>
        <w:t>Рено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</w:t>
      </w:r>
      <w:proofErr w:type="spellStart"/>
      <w:r w:rsidR="002053CD" w:rsidRPr="00A845D8">
        <w:rPr>
          <w:i/>
          <w:sz w:val="27"/>
          <w:szCs w:val="27"/>
        </w:rPr>
        <w:t>Рено</w:t>
      </w:r>
      <w:proofErr w:type="spellEnd"/>
      <w:r w:rsidR="002053CD" w:rsidRPr="00A845D8">
        <w:rPr>
          <w:i/>
          <w:sz w:val="27"/>
          <w:szCs w:val="27"/>
        </w:rPr>
        <w:t xml:space="preserve">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Рио</w:t>
      </w:r>
      <w:proofErr w:type="spellEnd"/>
      <w:r>
        <w:rPr>
          <w:i/>
          <w:sz w:val="27"/>
          <w:szCs w:val="27"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</w:t>
      </w:r>
      <w:proofErr w:type="spellStart"/>
      <w:r w:rsidR="008B63C4">
        <w:rPr>
          <w:i/>
          <w:sz w:val="27"/>
          <w:szCs w:val="27"/>
        </w:rPr>
        <w:t>Рио</w:t>
      </w:r>
      <w:proofErr w:type="spellEnd"/>
      <w:r w:rsidR="008B63C4">
        <w:rPr>
          <w:i/>
          <w:sz w:val="27"/>
          <w:szCs w:val="27"/>
        </w:rPr>
        <w:t>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>29 июня около 16 часов 30 минут в Серове на проспекте Седова водитель автомобиля «</w:t>
      </w:r>
      <w:proofErr w:type="spellStart"/>
      <w:r w:rsidRPr="008B63C4">
        <w:rPr>
          <w:i/>
          <w:sz w:val="27"/>
          <w:szCs w:val="27"/>
        </w:rPr>
        <w:t>Дэу</w:t>
      </w:r>
      <w:proofErr w:type="spellEnd"/>
      <w:r w:rsidRPr="008B63C4"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Рио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</w:t>
      </w:r>
      <w:r w:rsidRPr="00421AF6">
        <w:rPr>
          <w:i/>
          <w:sz w:val="27"/>
          <w:szCs w:val="27"/>
        </w:rPr>
        <w:lastRenderedPageBreak/>
        <w:t>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</w:t>
      </w:r>
      <w:proofErr w:type="spellStart"/>
      <w:r w:rsidR="00787A5C">
        <w:rPr>
          <w:sz w:val="28"/>
          <w:szCs w:val="28"/>
        </w:rPr>
        <w:t>Талицком</w:t>
      </w:r>
      <w:proofErr w:type="spellEnd"/>
      <w:r w:rsidR="00787A5C">
        <w:rPr>
          <w:sz w:val="28"/>
          <w:szCs w:val="28"/>
        </w:rPr>
        <w:t xml:space="preserve">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</w:t>
      </w:r>
      <w:proofErr w:type="spellStart"/>
      <w:r w:rsidR="007F38E4">
        <w:rPr>
          <w:sz w:val="28"/>
          <w:szCs w:val="28"/>
        </w:rPr>
        <w:t>Верхнепышминском</w:t>
      </w:r>
      <w:proofErr w:type="spellEnd"/>
      <w:r w:rsidR="007F38E4">
        <w:rPr>
          <w:sz w:val="28"/>
          <w:szCs w:val="28"/>
        </w:rPr>
        <w:t xml:space="preserve">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</w:t>
      </w:r>
      <w:proofErr w:type="spellStart"/>
      <w:r w:rsidR="00BA1466">
        <w:rPr>
          <w:sz w:val="28"/>
          <w:szCs w:val="28"/>
        </w:rPr>
        <w:t>Сысертском</w:t>
      </w:r>
      <w:proofErr w:type="spellEnd"/>
      <w:r w:rsidR="00BA1466">
        <w:rPr>
          <w:sz w:val="28"/>
          <w:szCs w:val="28"/>
        </w:rPr>
        <w:t xml:space="preserve">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proofErr w:type="spellStart"/>
      <w:r w:rsidR="00BA1466">
        <w:rPr>
          <w:sz w:val="28"/>
          <w:szCs w:val="28"/>
        </w:rPr>
        <w:t>Ачитском</w:t>
      </w:r>
      <w:proofErr w:type="spellEnd"/>
      <w:r w:rsidR="00BA1466">
        <w:rPr>
          <w:sz w:val="28"/>
          <w:szCs w:val="28"/>
        </w:rPr>
        <w:t xml:space="preserve"> районе, </w:t>
      </w:r>
      <w:proofErr w:type="spellStart"/>
      <w:r w:rsidR="00BA1466">
        <w:rPr>
          <w:sz w:val="28"/>
          <w:szCs w:val="28"/>
        </w:rPr>
        <w:t>Богдановичском</w:t>
      </w:r>
      <w:proofErr w:type="spellEnd"/>
      <w:r w:rsidR="00BA1466">
        <w:rPr>
          <w:sz w:val="28"/>
          <w:szCs w:val="28"/>
        </w:rPr>
        <w:t xml:space="preserve">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proofErr w:type="spellStart"/>
      <w:r w:rsidR="00E90580" w:rsidRPr="00914909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>с пострадавшими детьми-</w:t>
      </w:r>
      <w:r w:rsidRPr="005E1019">
        <w:rPr>
          <w:sz w:val="28"/>
          <w:szCs w:val="28"/>
        </w:rPr>
        <w:lastRenderedPageBreak/>
        <w:t xml:space="preserve">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lastRenderedPageBreak/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</w:t>
      </w:r>
      <w:proofErr w:type="spellStart"/>
      <w:r w:rsidR="00C7398B">
        <w:rPr>
          <w:color w:val="000000" w:themeColor="text1"/>
          <w:sz w:val="28"/>
          <w:szCs w:val="28"/>
        </w:rPr>
        <w:t>Кировграде</w:t>
      </w:r>
      <w:proofErr w:type="spellEnd"/>
      <w:r w:rsidR="00C7398B">
        <w:rPr>
          <w:color w:val="000000" w:themeColor="text1"/>
          <w:sz w:val="28"/>
          <w:szCs w:val="28"/>
        </w:rPr>
        <w:t>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</w:t>
      </w:r>
      <w:proofErr w:type="spellStart"/>
      <w:r w:rsidR="00070F7B">
        <w:rPr>
          <w:color w:val="000000" w:themeColor="text1"/>
          <w:sz w:val="28"/>
          <w:szCs w:val="28"/>
        </w:rPr>
        <w:t>Прокоп-Салдинская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</w:t>
      </w:r>
      <w:r w:rsidR="00624885">
        <w:rPr>
          <w:color w:val="000000" w:themeColor="text1"/>
          <w:sz w:val="28"/>
          <w:szCs w:val="28"/>
        </w:rPr>
        <w:t xml:space="preserve">,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DF141B" w:rsidRDefault="0047195F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>. Продолжить работу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</w:t>
      </w:r>
      <w:proofErr w:type="spellStart"/>
      <w:r w:rsidR="0009710C" w:rsidRPr="004746AF">
        <w:rPr>
          <w:sz w:val="28"/>
          <w:szCs w:val="28"/>
        </w:rPr>
        <w:t>электросамокаты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гироскутеры</w:t>
      </w:r>
      <w:proofErr w:type="spellEnd"/>
      <w:r w:rsidR="0009710C" w:rsidRPr="004746AF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4746AF">
        <w:rPr>
          <w:sz w:val="28"/>
          <w:szCs w:val="28"/>
        </w:rPr>
        <w:t>сигвеи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моноколеса</w:t>
      </w:r>
      <w:proofErr w:type="spellEnd"/>
      <w:r w:rsidR="0009710C" w:rsidRPr="004746AF">
        <w:rPr>
          <w:sz w:val="28"/>
          <w:szCs w:val="28"/>
        </w:rPr>
        <w:t xml:space="preserve"> и т.п.)</w:t>
      </w:r>
      <w:r w:rsidR="004746AF" w:rsidRPr="004746AF">
        <w:rPr>
          <w:sz w:val="28"/>
          <w:szCs w:val="28"/>
        </w:rPr>
        <w:t xml:space="preserve"> и велосипедах</w:t>
      </w:r>
      <w:r w:rsidR="00E252EF" w:rsidRPr="004746AF">
        <w:rPr>
          <w:sz w:val="28"/>
          <w:szCs w:val="28"/>
        </w:rPr>
        <w:t xml:space="preserve">.  </w:t>
      </w:r>
    </w:p>
    <w:p w:rsidR="00E252EF" w:rsidRPr="000E2CE7" w:rsidRDefault="0047195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47195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 xml:space="preserve">. </w:t>
      </w:r>
      <w:r w:rsidR="00E252EF">
        <w:rPr>
          <w:sz w:val="28"/>
          <w:szCs w:val="28"/>
        </w:rPr>
        <w:t>По маршрутам движения детей «дом-школа-дом», в</w:t>
      </w:r>
      <w:r w:rsidR="00E252EF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E252EF"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 w:rsidR="00E252EF">
        <w:rPr>
          <w:sz w:val="28"/>
          <w:szCs w:val="28"/>
        </w:rPr>
        <w:t>автозаправочных станциях</w:t>
      </w:r>
      <w:r w:rsidR="00E252EF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="00E252EF"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 w:rsidR="00E252EF">
        <w:rPr>
          <w:sz w:val="28"/>
          <w:szCs w:val="28"/>
        </w:rPr>
        <w:t xml:space="preserve"> </w:t>
      </w:r>
    </w:p>
    <w:p w:rsidR="00E252EF" w:rsidRDefault="0047195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 xml:space="preserve">популярных </w:t>
      </w:r>
      <w:proofErr w:type="spellStart"/>
      <w:r w:rsidR="00E252EF" w:rsidRPr="000E2CE7">
        <w:rPr>
          <w:sz w:val="28"/>
          <w:szCs w:val="28"/>
        </w:rPr>
        <w:t>блогеров</w:t>
      </w:r>
      <w:proofErr w:type="spellEnd"/>
      <w:r w:rsidR="00E252EF" w:rsidRPr="000E2CE7">
        <w:rPr>
          <w:sz w:val="28"/>
          <w:szCs w:val="28"/>
        </w:rPr>
        <w:t>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 w:rsidR="00E252EF"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 w:rsidR="00E252EF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D44C14" w:rsidRDefault="0047195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4C14">
        <w:rPr>
          <w:sz w:val="28"/>
          <w:szCs w:val="28"/>
        </w:rPr>
        <w:t xml:space="preserve">. Организовать профилактическую работу в местах, которые посещают граждане: больницы, общепит, учреждения социальной политики, дополнительного </w:t>
      </w:r>
      <w:r w:rsidR="00D44C14">
        <w:rPr>
          <w:sz w:val="28"/>
          <w:szCs w:val="28"/>
        </w:rPr>
        <w:lastRenderedPageBreak/>
        <w:t>образования, пенсионные фо</w:t>
      </w:r>
      <w:r w:rsidR="00C964F4">
        <w:rPr>
          <w:sz w:val="28"/>
          <w:szCs w:val="28"/>
        </w:rPr>
        <w:t>нды,</w:t>
      </w:r>
      <w:r w:rsidR="000E38D4">
        <w:rPr>
          <w:sz w:val="28"/>
          <w:szCs w:val="28"/>
        </w:rPr>
        <w:t xml:space="preserve"> почтовые отделения связи</w:t>
      </w:r>
      <w:r w:rsidR="00C964F4">
        <w:rPr>
          <w:sz w:val="28"/>
          <w:szCs w:val="28"/>
        </w:rPr>
        <w:t xml:space="preserve">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47195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C1" w:rsidRDefault="002D31C1" w:rsidP="00874A55">
      <w:r>
        <w:separator/>
      </w:r>
    </w:p>
  </w:endnote>
  <w:endnote w:type="continuationSeparator" w:id="0">
    <w:p w:rsidR="002D31C1" w:rsidRDefault="002D31C1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C1" w:rsidRDefault="002D31C1" w:rsidP="00874A55">
      <w:r>
        <w:separator/>
      </w:r>
    </w:p>
  </w:footnote>
  <w:footnote w:type="continuationSeparator" w:id="0">
    <w:p w:rsidR="002D31C1" w:rsidRDefault="002D31C1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86666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47195F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31C1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195F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662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shape val="box"/>
        <c:axId val="118653696"/>
        <c:axId val="118655232"/>
        <c:axId val="0"/>
      </c:bar3DChart>
      <c:catAx>
        <c:axId val="118653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655232"/>
        <c:crosses val="autoZero"/>
        <c:auto val="1"/>
        <c:lblAlgn val="ctr"/>
        <c:lblOffset val="100"/>
      </c:catAx>
      <c:valAx>
        <c:axId val="118655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65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46E-2"/>
                  <c:y val="-3.929078351610890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gapWidth val="100"/>
        <c:axId val="125620992"/>
        <c:axId val="118676480"/>
      </c:barChart>
      <c:valAx>
        <c:axId val="1186764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20992"/>
        <c:crosses val="autoZero"/>
        <c:crossBetween val="between"/>
      </c:valAx>
      <c:catAx>
        <c:axId val="12562099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67648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5953920"/>
        <c:axId val="125955456"/>
      </c:barChart>
      <c:catAx>
        <c:axId val="125953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955456"/>
        <c:crosses val="autoZero"/>
        <c:auto val="1"/>
        <c:lblAlgn val="ctr"/>
        <c:lblOffset val="100"/>
      </c:catAx>
      <c:valAx>
        <c:axId val="125955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95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5667200"/>
        <c:axId val="125668736"/>
      </c:barChart>
      <c:catAx>
        <c:axId val="12566720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68736"/>
        <c:crosses val="autoZero"/>
        <c:auto val="1"/>
        <c:lblAlgn val="ctr"/>
        <c:lblOffset val="100"/>
        <c:tickLblSkip val="1"/>
      </c:catAx>
      <c:valAx>
        <c:axId val="125668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6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06440576"/>
        <c:axId val="106442112"/>
      </c:barChart>
      <c:catAx>
        <c:axId val="10644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442112"/>
        <c:crosses val="autoZero"/>
        <c:auto val="1"/>
        <c:lblAlgn val="ctr"/>
        <c:lblOffset val="100"/>
      </c:catAx>
      <c:valAx>
        <c:axId val="106442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44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17470336"/>
        <c:axId val="117471872"/>
      </c:barChart>
      <c:catAx>
        <c:axId val="1174703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71872"/>
        <c:crosses val="autoZero"/>
        <c:auto val="1"/>
        <c:lblAlgn val="ctr"/>
        <c:lblOffset val="100"/>
      </c:catAx>
      <c:valAx>
        <c:axId val="1174718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9CAA-228E-46DE-8D92-F8C74E72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Tania</cp:lastModifiedBy>
  <cp:revision>8</cp:revision>
  <cp:lastPrinted>2021-02-11T05:26:00Z</cp:lastPrinted>
  <dcterms:created xsi:type="dcterms:W3CDTF">2022-10-05T09:43:00Z</dcterms:created>
  <dcterms:modified xsi:type="dcterms:W3CDTF">2022-11-01T06:56:00Z</dcterms:modified>
</cp:coreProperties>
</file>